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B7" w:rsidRDefault="00AB4CB7" w:rsidP="008A22C6">
      <w:r>
        <w:rPr>
          <w:noProof/>
          <w:lang w:eastAsia="en-GB"/>
        </w:rPr>
        <w:drawing>
          <wp:anchor distT="0" distB="0" distL="114300" distR="114300" simplePos="0" relativeHeight="251659264" behindDoc="0" locked="0" layoutInCell="1" allowOverlap="1" wp14:anchorId="0F3FF215" wp14:editId="2336C834">
            <wp:simplePos x="0" y="0"/>
            <wp:positionH relativeFrom="column">
              <wp:posOffset>5343524</wp:posOffset>
            </wp:positionH>
            <wp:positionV relativeFrom="paragraph">
              <wp:posOffset>-447674</wp:posOffset>
            </wp:positionV>
            <wp:extent cx="1057275" cy="14121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349" cy="1414883"/>
                    </a:xfrm>
                    <a:prstGeom prst="rect">
                      <a:avLst/>
                    </a:prstGeom>
                    <a:noFill/>
                  </pic:spPr>
                </pic:pic>
              </a:graphicData>
            </a:graphic>
            <wp14:sizeRelH relativeFrom="page">
              <wp14:pctWidth>0</wp14:pctWidth>
            </wp14:sizeRelH>
            <wp14:sizeRelV relativeFrom="page">
              <wp14:pctHeight>0</wp14:pctHeight>
            </wp14:sizeRelV>
          </wp:anchor>
        </w:drawing>
      </w:r>
    </w:p>
    <w:p w:rsidR="00AB4CB7" w:rsidRPr="00AB4CB7" w:rsidRDefault="00AB4CB7" w:rsidP="00AB4CB7"/>
    <w:p w:rsidR="00AB4CB7" w:rsidRPr="00AB4CB7" w:rsidRDefault="00AB4CB7" w:rsidP="00AB4CB7"/>
    <w:p w:rsidR="00AB4CB7" w:rsidRPr="00AB4CB7" w:rsidRDefault="00AB4CB7" w:rsidP="00AB4CB7"/>
    <w:p w:rsidR="00AB4CB7" w:rsidRPr="00AB4CB7" w:rsidRDefault="00AB4CB7" w:rsidP="00AB4CB7"/>
    <w:p w:rsidR="00AB4CB7" w:rsidRDefault="00AB4CB7" w:rsidP="00AB4CB7"/>
    <w:p w:rsidR="008A22C6" w:rsidRPr="00A34150" w:rsidRDefault="00AB4CB7" w:rsidP="00AB4CB7">
      <w:pPr>
        <w:rPr>
          <w:b/>
          <w:sz w:val="22"/>
          <w:szCs w:val="22"/>
        </w:rPr>
      </w:pPr>
      <w:r w:rsidRPr="00A34150">
        <w:rPr>
          <w:b/>
          <w:sz w:val="22"/>
          <w:szCs w:val="22"/>
        </w:rPr>
        <w:t>To:</w:t>
      </w:r>
      <w:r w:rsidRPr="00A34150">
        <w:rPr>
          <w:b/>
          <w:sz w:val="22"/>
          <w:szCs w:val="22"/>
        </w:rPr>
        <w:tab/>
      </w:r>
      <w:r w:rsidRPr="00A34150">
        <w:rPr>
          <w:b/>
          <w:sz w:val="22"/>
          <w:szCs w:val="22"/>
        </w:rPr>
        <w:tab/>
      </w:r>
      <w:r w:rsidRPr="00A34150">
        <w:rPr>
          <w:b/>
          <w:sz w:val="22"/>
          <w:szCs w:val="22"/>
        </w:rPr>
        <w:tab/>
      </w:r>
      <w:r w:rsidR="00B16ECA">
        <w:rPr>
          <w:b/>
          <w:bCs/>
        </w:rPr>
        <w:t>General Purposes Licensing Casework</w:t>
      </w:r>
      <w:r w:rsidR="00B16ECA" w:rsidRPr="00745B8B">
        <w:rPr>
          <w:b/>
          <w:bCs/>
        </w:rPr>
        <w:t xml:space="preserve"> Sub Committee</w:t>
      </w:r>
    </w:p>
    <w:p w:rsidR="00AB4CB7" w:rsidRPr="00A34150" w:rsidRDefault="00AB4CB7" w:rsidP="00AB4CB7">
      <w:pPr>
        <w:rPr>
          <w:b/>
          <w:sz w:val="22"/>
          <w:szCs w:val="22"/>
        </w:rPr>
      </w:pPr>
    </w:p>
    <w:p w:rsidR="00AB4CB7" w:rsidRPr="00AF6FCF" w:rsidRDefault="00B16ECA" w:rsidP="00AB4CB7">
      <w:pPr>
        <w:rPr>
          <w:b/>
        </w:rPr>
      </w:pPr>
      <w:r w:rsidRPr="00AF6FCF">
        <w:rPr>
          <w:b/>
        </w:rPr>
        <w:t>Date:</w:t>
      </w:r>
      <w:r w:rsidRPr="00AF6FCF">
        <w:rPr>
          <w:b/>
        </w:rPr>
        <w:tab/>
      </w:r>
      <w:r w:rsidRPr="00AF6FCF">
        <w:rPr>
          <w:b/>
        </w:rPr>
        <w:tab/>
      </w:r>
      <w:r w:rsidRPr="00AF6FCF">
        <w:rPr>
          <w:b/>
        </w:rPr>
        <w:tab/>
        <w:t>16 April 2018</w:t>
      </w:r>
    </w:p>
    <w:p w:rsidR="00AB4CB7" w:rsidRPr="00A34150" w:rsidRDefault="00AB4CB7" w:rsidP="00AB4CB7">
      <w:pPr>
        <w:rPr>
          <w:b/>
          <w:sz w:val="22"/>
          <w:szCs w:val="22"/>
        </w:rPr>
      </w:pPr>
    </w:p>
    <w:p w:rsidR="00AB4CB7" w:rsidRPr="00A34150" w:rsidRDefault="00B16ECA" w:rsidP="00B16ECA">
      <w:pPr>
        <w:ind w:left="2160" w:hanging="2160"/>
        <w:rPr>
          <w:b/>
          <w:sz w:val="22"/>
          <w:szCs w:val="22"/>
        </w:rPr>
      </w:pPr>
      <w:r>
        <w:rPr>
          <w:b/>
          <w:sz w:val="22"/>
          <w:szCs w:val="22"/>
        </w:rPr>
        <w:t>Report of:</w:t>
      </w:r>
      <w:r>
        <w:rPr>
          <w:b/>
          <w:sz w:val="22"/>
          <w:szCs w:val="22"/>
        </w:rPr>
        <w:tab/>
      </w:r>
      <w:r w:rsidRPr="00745B8B">
        <w:rPr>
          <w:b/>
          <w:bCs/>
        </w:rPr>
        <w:t xml:space="preserve">Head of </w:t>
      </w:r>
      <w:r>
        <w:rPr>
          <w:b/>
          <w:bCs/>
        </w:rPr>
        <w:t>Planning, Sustainable Development &amp; Regulatory Services</w:t>
      </w:r>
    </w:p>
    <w:p w:rsidR="00AB4CB7" w:rsidRPr="00A34150" w:rsidRDefault="00AB4CB7" w:rsidP="00AB4CB7">
      <w:pPr>
        <w:rPr>
          <w:b/>
          <w:sz w:val="22"/>
          <w:szCs w:val="22"/>
        </w:rPr>
      </w:pPr>
    </w:p>
    <w:p w:rsidR="00AB4CB7" w:rsidRPr="00A34150" w:rsidRDefault="00AB4CB7" w:rsidP="00AB4CB7">
      <w:pPr>
        <w:rPr>
          <w:b/>
          <w:sz w:val="22"/>
          <w:szCs w:val="22"/>
        </w:rPr>
      </w:pPr>
      <w:r w:rsidRPr="00A34150">
        <w:rPr>
          <w:b/>
          <w:sz w:val="22"/>
          <w:szCs w:val="22"/>
        </w:rPr>
        <w:t>Title of Report:</w:t>
      </w:r>
      <w:r w:rsidRPr="00A34150">
        <w:rPr>
          <w:b/>
          <w:sz w:val="22"/>
          <w:szCs w:val="22"/>
        </w:rPr>
        <w:tab/>
      </w:r>
      <w:r w:rsidR="006E33A7" w:rsidRPr="00551C7D">
        <w:rPr>
          <w:b/>
          <w:bCs/>
        </w:rPr>
        <w:t xml:space="preserve">Application for the renewal of Street Trading Consent </w:t>
      </w:r>
      <w:r w:rsidR="006E33A7" w:rsidRPr="00551C7D">
        <w:rPr>
          <w:b/>
        </w:rPr>
        <w:t xml:space="preserve">– </w:t>
      </w:r>
      <w:r w:rsidR="006E33A7" w:rsidRPr="00551C7D">
        <w:rPr>
          <w:b/>
        </w:rPr>
        <w:tab/>
      </w:r>
      <w:r w:rsidR="006E33A7" w:rsidRPr="00551C7D">
        <w:rPr>
          <w:b/>
        </w:rPr>
        <w:tab/>
      </w:r>
      <w:r w:rsidR="006E33A7" w:rsidRPr="00551C7D">
        <w:rPr>
          <w:b/>
        </w:rPr>
        <w:tab/>
      </w:r>
      <w:r w:rsidR="006E33A7" w:rsidRPr="00551C7D">
        <w:rPr>
          <w:b/>
        </w:rPr>
        <w:tab/>
      </w:r>
      <w:r w:rsidRPr="00551C7D">
        <w:rPr>
          <w:b/>
        </w:rPr>
        <w:t>Mr John Irvin</w:t>
      </w:r>
    </w:p>
    <w:p w:rsidR="00AB4CB7" w:rsidRPr="00A34150" w:rsidRDefault="00AB4CB7" w:rsidP="00AB4CB7">
      <w:pPr>
        <w:rPr>
          <w:b/>
          <w:sz w:val="22"/>
          <w:szCs w:val="22"/>
        </w:rPr>
      </w:pPr>
    </w:p>
    <w:p w:rsidR="00A34150" w:rsidRPr="00A34150" w:rsidRDefault="00A34150" w:rsidP="00A34150">
      <w:pPr>
        <w:pBdr>
          <w:top w:val="single" w:sz="4" w:space="1" w:color="auto"/>
          <w:left w:val="single" w:sz="4" w:space="4" w:color="auto"/>
          <w:bottom w:val="single" w:sz="4" w:space="1" w:color="auto"/>
          <w:right w:val="single" w:sz="4" w:space="4" w:color="auto"/>
        </w:pBdr>
        <w:jc w:val="center"/>
        <w:rPr>
          <w:b/>
          <w:sz w:val="22"/>
          <w:szCs w:val="22"/>
        </w:rPr>
      </w:pPr>
    </w:p>
    <w:p w:rsidR="00AB4CB7" w:rsidRPr="00A34150" w:rsidRDefault="00A34150" w:rsidP="00A34150">
      <w:pPr>
        <w:pBdr>
          <w:top w:val="single" w:sz="4" w:space="1" w:color="auto"/>
          <w:left w:val="single" w:sz="4" w:space="4" w:color="auto"/>
          <w:bottom w:val="single" w:sz="4" w:space="1" w:color="auto"/>
          <w:right w:val="single" w:sz="4" w:space="4" w:color="auto"/>
        </w:pBdr>
        <w:jc w:val="center"/>
        <w:rPr>
          <w:b/>
          <w:sz w:val="22"/>
          <w:szCs w:val="22"/>
        </w:rPr>
      </w:pPr>
      <w:r w:rsidRPr="00A34150">
        <w:rPr>
          <w:b/>
          <w:sz w:val="22"/>
          <w:szCs w:val="22"/>
        </w:rPr>
        <w:t>Summary and Recommendations</w:t>
      </w:r>
    </w:p>
    <w:p w:rsidR="00A34150" w:rsidRPr="00A34150" w:rsidRDefault="00A34150" w:rsidP="00A34150">
      <w:pPr>
        <w:pBdr>
          <w:top w:val="single" w:sz="4" w:space="1" w:color="auto"/>
          <w:left w:val="single" w:sz="4" w:space="4" w:color="auto"/>
          <w:bottom w:val="single" w:sz="4" w:space="1" w:color="auto"/>
          <w:right w:val="single" w:sz="4" w:space="4" w:color="auto"/>
        </w:pBdr>
        <w:jc w:val="center"/>
        <w:rPr>
          <w:b/>
          <w:sz w:val="22"/>
          <w:szCs w:val="22"/>
        </w:rPr>
      </w:pP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sidRPr="00A34150">
        <w:rPr>
          <w:b/>
          <w:sz w:val="22"/>
          <w:szCs w:val="22"/>
        </w:rPr>
        <w:t>Purpose of the report:</w:t>
      </w:r>
      <w:r w:rsidRPr="00A34150">
        <w:rPr>
          <w:b/>
          <w:sz w:val="22"/>
          <w:szCs w:val="22"/>
        </w:rPr>
        <w:tab/>
      </w:r>
      <w:r w:rsidR="006E33A7" w:rsidRPr="00AF6FCF">
        <w:rPr>
          <w:sz w:val="22"/>
          <w:szCs w:val="22"/>
        </w:rPr>
        <w:t>To seek determination of an application to renew a Street Trading Consent.</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p>
    <w:p w:rsidR="00A34150" w:rsidRDefault="00A34150" w:rsidP="00A34150">
      <w:pPr>
        <w:pBdr>
          <w:top w:val="single" w:sz="4" w:space="1" w:color="auto"/>
          <w:left w:val="single" w:sz="4" w:space="4" w:color="auto"/>
          <w:bottom w:val="single" w:sz="4" w:space="1" w:color="auto"/>
          <w:right w:val="single" w:sz="4" w:space="4" w:color="auto"/>
        </w:pBdr>
        <w:ind w:left="2880" w:hanging="2880"/>
        <w:rPr>
          <w:b/>
          <w:sz w:val="22"/>
          <w:szCs w:val="22"/>
        </w:rPr>
      </w:pPr>
      <w:r>
        <w:rPr>
          <w:b/>
          <w:sz w:val="22"/>
          <w:szCs w:val="22"/>
        </w:rPr>
        <w:t>Report Approved by:</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Finance:</w:t>
      </w:r>
      <w:r>
        <w:rPr>
          <w:b/>
          <w:sz w:val="22"/>
          <w:szCs w:val="22"/>
        </w:rPr>
        <w:tab/>
      </w:r>
      <w:r>
        <w:rPr>
          <w:sz w:val="22"/>
          <w:szCs w:val="22"/>
        </w:rPr>
        <w:t>Jonathan Marks</w:t>
      </w:r>
      <w:r w:rsidR="00AF6FCF">
        <w:rPr>
          <w:sz w:val="22"/>
          <w:szCs w:val="22"/>
        </w:rPr>
        <w:t xml:space="preserve"> </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Legal:</w:t>
      </w:r>
      <w:r>
        <w:rPr>
          <w:b/>
          <w:sz w:val="22"/>
          <w:szCs w:val="22"/>
        </w:rPr>
        <w:tab/>
      </w:r>
      <w:r>
        <w:rPr>
          <w:sz w:val="22"/>
          <w:szCs w:val="22"/>
        </w:rPr>
        <w:t>Daniel Smith</w:t>
      </w:r>
      <w:r w:rsidR="00CF59D6">
        <w:rPr>
          <w:sz w:val="22"/>
          <w:szCs w:val="22"/>
        </w:rPr>
        <w:t xml:space="preserve"> </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Policy Framework:</w:t>
      </w:r>
      <w:r>
        <w:rPr>
          <w:b/>
          <w:sz w:val="22"/>
          <w:szCs w:val="22"/>
        </w:rPr>
        <w:tab/>
      </w:r>
      <w:r>
        <w:rPr>
          <w:sz w:val="22"/>
          <w:szCs w:val="22"/>
        </w:rPr>
        <w:t>S</w:t>
      </w:r>
      <w:bookmarkStart w:id="0" w:name="_GoBack"/>
      <w:bookmarkEnd w:id="0"/>
      <w:r>
        <w:rPr>
          <w:sz w:val="22"/>
          <w:szCs w:val="22"/>
        </w:rPr>
        <w:t>treet Trading Policy</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ab/>
      </w:r>
      <w:r>
        <w:rPr>
          <w:sz w:val="22"/>
          <w:szCs w:val="22"/>
        </w:rPr>
        <w:t>A vibrant and sustainable economy</w:t>
      </w:r>
    </w:p>
    <w:p w:rsidR="00A34150" w:rsidRDefault="00A34150" w:rsidP="00A34150">
      <w:pPr>
        <w:pBdr>
          <w:top w:val="single" w:sz="4" w:space="1" w:color="auto"/>
          <w:left w:val="single" w:sz="4" w:space="4" w:color="auto"/>
          <w:bottom w:val="single" w:sz="4" w:space="1" w:color="auto"/>
          <w:right w:val="single" w:sz="4" w:space="4" w:color="auto"/>
        </w:pBdr>
        <w:ind w:left="2880" w:hanging="2880"/>
        <w:rPr>
          <w:sz w:val="22"/>
          <w:szCs w:val="22"/>
        </w:rPr>
      </w:pPr>
    </w:p>
    <w:p w:rsidR="00A34150" w:rsidRPr="006E33A7" w:rsidRDefault="009031E1" w:rsidP="00A34150">
      <w:pPr>
        <w:pBdr>
          <w:top w:val="single" w:sz="4" w:space="1" w:color="auto"/>
          <w:left w:val="single" w:sz="4" w:space="4" w:color="auto"/>
          <w:bottom w:val="single" w:sz="4" w:space="1" w:color="auto"/>
          <w:right w:val="single" w:sz="4" w:space="4" w:color="auto"/>
        </w:pBdr>
        <w:ind w:left="2880" w:hanging="2880"/>
        <w:rPr>
          <w:sz w:val="22"/>
          <w:szCs w:val="22"/>
        </w:rPr>
      </w:pPr>
      <w:r>
        <w:rPr>
          <w:b/>
          <w:sz w:val="22"/>
          <w:szCs w:val="22"/>
        </w:rPr>
        <w:t>Recommendation</w:t>
      </w:r>
      <w:r w:rsidR="00A34150">
        <w:rPr>
          <w:b/>
          <w:sz w:val="22"/>
          <w:szCs w:val="22"/>
        </w:rPr>
        <w:t>s:</w:t>
      </w:r>
      <w:r w:rsidR="00A34150">
        <w:rPr>
          <w:b/>
          <w:sz w:val="22"/>
          <w:szCs w:val="22"/>
        </w:rPr>
        <w:tab/>
      </w:r>
      <w:r w:rsidRPr="009031E1">
        <w:rPr>
          <w:sz w:val="22"/>
          <w:szCs w:val="22"/>
        </w:rPr>
        <w:t>The</w:t>
      </w:r>
      <w:r>
        <w:rPr>
          <w:b/>
          <w:sz w:val="22"/>
          <w:szCs w:val="22"/>
        </w:rPr>
        <w:t xml:space="preserve"> </w:t>
      </w:r>
      <w:r w:rsidR="000F56E2">
        <w:rPr>
          <w:sz w:val="22"/>
          <w:szCs w:val="22"/>
        </w:rPr>
        <w:t>Sub-</w:t>
      </w:r>
      <w:r w:rsidR="006E33A7">
        <w:rPr>
          <w:sz w:val="22"/>
          <w:szCs w:val="22"/>
        </w:rPr>
        <w:t>Committee is reque</w:t>
      </w:r>
      <w:r w:rsidR="00CF59D6">
        <w:rPr>
          <w:sz w:val="22"/>
          <w:szCs w:val="22"/>
        </w:rPr>
        <w:t>sted to determine Mr John Irvin</w:t>
      </w:r>
      <w:r w:rsidR="006E33A7">
        <w:rPr>
          <w:sz w:val="22"/>
          <w:szCs w:val="22"/>
        </w:rPr>
        <w:t>’s application to renew his street trading consent, taking into account the details in this report and any representations made at this Sub-Committee meeting.</w:t>
      </w:r>
    </w:p>
    <w:p w:rsidR="00070EA0" w:rsidRDefault="00070EA0" w:rsidP="00A34150">
      <w:pPr>
        <w:pBdr>
          <w:top w:val="single" w:sz="4" w:space="1" w:color="auto"/>
          <w:left w:val="single" w:sz="4" w:space="4" w:color="auto"/>
          <w:bottom w:val="single" w:sz="4" w:space="1" w:color="auto"/>
          <w:right w:val="single" w:sz="4" w:space="4" w:color="auto"/>
        </w:pBdr>
        <w:ind w:left="2880" w:hanging="2880"/>
        <w:rPr>
          <w:sz w:val="22"/>
          <w:szCs w:val="22"/>
        </w:rPr>
      </w:pPr>
    </w:p>
    <w:p w:rsidR="00070EA0" w:rsidRDefault="00070EA0" w:rsidP="00070EA0">
      <w:pPr>
        <w:rPr>
          <w:sz w:val="22"/>
          <w:szCs w:val="22"/>
        </w:rPr>
      </w:pPr>
    </w:p>
    <w:p w:rsidR="00C26BFA" w:rsidRDefault="00C26BFA" w:rsidP="00070EA0">
      <w:pPr>
        <w:rPr>
          <w:b/>
          <w:sz w:val="22"/>
          <w:szCs w:val="22"/>
        </w:rPr>
      </w:pPr>
      <w:r>
        <w:rPr>
          <w:b/>
          <w:sz w:val="22"/>
          <w:szCs w:val="22"/>
        </w:rPr>
        <w:t>Appendices</w:t>
      </w:r>
    </w:p>
    <w:p w:rsidR="00C26BFA" w:rsidRDefault="00C26BFA" w:rsidP="00070EA0">
      <w:pPr>
        <w:rPr>
          <w:b/>
          <w:sz w:val="22"/>
          <w:szCs w:val="22"/>
        </w:rPr>
      </w:pPr>
    </w:p>
    <w:p w:rsidR="00C26BFA" w:rsidRDefault="00C26BFA" w:rsidP="00070EA0">
      <w:pPr>
        <w:rPr>
          <w:sz w:val="22"/>
          <w:szCs w:val="22"/>
        </w:rPr>
      </w:pPr>
      <w:r>
        <w:rPr>
          <w:sz w:val="22"/>
          <w:szCs w:val="22"/>
        </w:rPr>
        <w:t xml:space="preserve">Appendix A – Application Form </w:t>
      </w:r>
    </w:p>
    <w:p w:rsidR="00C26BFA" w:rsidRDefault="00C26BFA" w:rsidP="00070EA0">
      <w:pPr>
        <w:rPr>
          <w:sz w:val="22"/>
          <w:szCs w:val="22"/>
        </w:rPr>
      </w:pPr>
    </w:p>
    <w:p w:rsidR="00C26BFA" w:rsidRDefault="00C26BFA" w:rsidP="00070EA0">
      <w:pPr>
        <w:rPr>
          <w:sz w:val="22"/>
          <w:szCs w:val="22"/>
        </w:rPr>
      </w:pPr>
      <w:r>
        <w:rPr>
          <w:sz w:val="22"/>
          <w:szCs w:val="22"/>
        </w:rPr>
        <w:t xml:space="preserve">Appendix B – </w:t>
      </w:r>
      <w:r w:rsidR="00831967">
        <w:rPr>
          <w:sz w:val="22"/>
          <w:szCs w:val="22"/>
        </w:rPr>
        <w:t>Consent and General Conditions</w:t>
      </w:r>
    </w:p>
    <w:p w:rsidR="003436C8" w:rsidRDefault="003436C8" w:rsidP="00070EA0">
      <w:pPr>
        <w:rPr>
          <w:sz w:val="22"/>
          <w:szCs w:val="22"/>
        </w:rPr>
      </w:pPr>
    </w:p>
    <w:p w:rsidR="0067798C" w:rsidRDefault="003436C8" w:rsidP="00070EA0">
      <w:pPr>
        <w:rPr>
          <w:sz w:val="22"/>
          <w:szCs w:val="22"/>
        </w:rPr>
      </w:pPr>
      <w:r>
        <w:rPr>
          <w:sz w:val="22"/>
          <w:szCs w:val="22"/>
        </w:rPr>
        <w:t xml:space="preserve">Appendix C – </w:t>
      </w:r>
      <w:r w:rsidR="005C0306">
        <w:rPr>
          <w:sz w:val="22"/>
          <w:szCs w:val="22"/>
        </w:rPr>
        <w:t>Enforcement History</w:t>
      </w:r>
    </w:p>
    <w:p w:rsidR="0067798C" w:rsidRDefault="0067798C" w:rsidP="00070EA0">
      <w:pPr>
        <w:rPr>
          <w:sz w:val="22"/>
          <w:szCs w:val="22"/>
        </w:rPr>
      </w:pPr>
    </w:p>
    <w:p w:rsidR="00C26BFA" w:rsidRDefault="00C26BFA" w:rsidP="00070EA0">
      <w:pPr>
        <w:rPr>
          <w:b/>
          <w:sz w:val="22"/>
          <w:szCs w:val="22"/>
        </w:rPr>
      </w:pPr>
    </w:p>
    <w:p w:rsidR="00070EA0" w:rsidRDefault="00070EA0" w:rsidP="00256A82">
      <w:pPr>
        <w:rPr>
          <w:b/>
          <w:sz w:val="22"/>
          <w:szCs w:val="22"/>
        </w:rPr>
      </w:pPr>
      <w:r>
        <w:rPr>
          <w:b/>
          <w:sz w:val="22"/>
          <w:szCs w:val="22"/>
        </w:rPr>
        <w:t>The Application</w:t>
      </w:r>
    </w:p>
    <w:p w:rsidR="00070EA0" w:rsidRDefault="00070EA0" w:rsidP="00070EA0">
      <w:pPr>
        <w:rPr>
          <w:b/>
          <w:sz w:val="22"/>
          <w:szCs w:val="22"/>
        </w:rPr>
      </w:pPr>
    </w:p>
    <w:p w:rsidR="00C26BFA" w:rsidRPr="00C56E19" w:rsidRDefault="00070EA0" w:rsidP="00C26BFA">
      <w:pPr>
        <w:pStyle w:val="ListParagraph"/>
        <w:numPr>
          <w:ilvl w:val="0"/>
          <w:numId w:val="3"/>
        </w:numPr>
        <w:rPr>
          <w:sz w:val="22"/>
          <w:szCs w:val="22"/>
        </w:rPr>
      </w:pPr>
      <w:r w:rsidRPr="00C56E19">
        <w:rPr>
          <w:sz w:val="22"/>
          <w:szCs w:val="22"/>
        </w:rPr>
        <w:t xml:space="preserve">The Business </w:t>
      </w:r>
      <w:r w:rsidR="00C04708" w:rsidRPr="00C56E19">
        <w:rPr>
          <w:sz w:val="22"/>
          <w:szCs w:val="22"/>
        </w:rPr>
        <w:t xml:space="preserve">Regulation Team has </w:t>
      </w:r>
      <w:r w:rsidR="005C0306">
        <w:rPr>
          <w:sz w:val="22"/>
          <w:szCs w:val="22"/>
        </w:rPr>
        <w:t xml:space="preserve">received a renewal application </w:t>
      </w:r>
      <w:r w:rsidR="00C04708" w:rsidRPr="00C56E19">
        <w:rPr>
          <w:sz w:val="22"/>
          <w:szCs w:val="22"/>
        </w:rPr>
        <w:t>f</w:t>
      </w:r>
      <w:r w:rsidR="005C0306">
        <w:rPr>
          <w:sz w:val="22"/>
          <w:szCs w:val="22"/>
        </w:rPr>
        <w:t>or</w:t>
      </w:r>
      <w:r w:rsidR="00C04708" w:rsidRPr="00C56E19">
        <w:rPr>
          <w:sz w:val="22"/>
          <w:szCs w:val="22"/>
        </w:rPr>
        <w:t xml:space="preserve"> </w:t>
      </w:r>
      <w:r w:rsidRPr="00C56E19">
        <w:rPr>
          <w:sz w:val="22"/>
          <w:szCs w:val="22"/>
        </w:rPr>
        <w:t>Street Tra</w:t>
      </w:r>
      <w:r w:rsidR="00C04708" w:rsidRPr="00C56E19">
        <w:rPr>
          <w:sz w:val="22"/>
          <w:szCs w:val="22"/>
        </w:rPr>
        <w:t>ding Consent from Mr John Irvin for the period 1</w:t>
      </w:r>
      <w:r w:rsidR="00C04708" w:rsidRPr="00C56E19">
        <w:rPr>
          <w:sz w:val="22"/>
          <w:szCs w:val="22"/>
          <w:vertAlign w:val="superscript"/>
        </w:rPr>
        <w:t>st</w:t>
      </w:r>
      <w:r w:rsidR="00C04708" w:rsidRPr="00C56E19">
        <w:rPr>
          <w:sz w:val="22"/>
          <w:szCs w:val="22"/>
        </w:rPr>
        <w:t xml:space="preserve"> April 2018 to 31</w:t>
      </w:r>
      <w:r w:rsidR="00C04708" w:rsidRPr="00C56E19">
        <w:rPr>
          <w:sz w:val="22"/>
          <w:szCs w:val="22"/>
          <w:vertAlign w:val="superscript"/>
        </w:rPr>
        <w:t>st</w:t>
      </w:r>
      <w:r w:rsidR="00C04708" w:rsidRPr="00C56E19">
        <w:rPr>
          <w:sz w:val="22"/>
          <w:szCs w:val="22"/>
        </w:rPr>
        <w:t xml:space="preserve"> March 2019.</w:t>
      </w:r>
      <w:r w:rsidRPr="00C56E19">
        <w:rPr>
          <w:sz w:val="22"/>
          <w:szCs w:val="22"/>
        </w:rPr>
        <w:t xml:space="preserve">  </w:t>
      </w:r>
      <w:r w:rsidR="00C04708" w:rsidRPr="00C56E19">
        <w:rPr>
          <w:sz w:val="22"/>
          <w:szCs w:val="22"/>
        </w:rPr>
        <w:t xml:space="preserve">The site is </w:t>
      </w:r>
      <w:r w:rsidR="005C0306">
        <w:rPr>
          <w:sz w:val="22"/>
          <w:szCs w:val="22"/>
        </w:rPr>
        <w:t>adjacent to</w:t>
      </w:r>
      <w:r w:rsidRPr="00C56E19">
        <w:rPr>
          <w:sz w:val="22"/>
          <w:szCs w:val="22"/>
        </w:rPr>
        <w:t xml:space="preserve"> Carphone Warehouse, Market Street, Oxford.  </w:t>
      </w:r>
      <w:r w:rsidR="00831967" w:rsidRPr="00C56E19">
        <w:rPr>
          <w:sz w:val="22"/>
          <w:szCs w:val="22"/>
        </w:rPr>
        <w:t>The application can be found at Appendix A.</w:t>
      </w:r>
    </w:p>
    <w:p w:rsidR="00831967" w:rsidRPr="00C56E19" w:rsidRDefault="00831967" w:rsidP="00831967">
      <w:pPr>
        <w:pStyle w:val="ListParagraph"/>
        <w:rPr>
          <w:sz w:val="22"/>
          <w:szCs w:val="22"/>
        </w:rPr>
      </w:pPr>
    </w:p>
    <w:p w:rsidR="00C26BFA" w:rsidRPr="00C56E19" w:rsidRDefault="00831967" w:rsidP="00C26BFA">
      <w:pPr>
        <w:pStyle w:val="ListParagraph"/>
        <w:numPr>
          <w:ilvl w:val="0"/>
          <w:numId w:val="3"/>
        </w:numPr>
        <w:rPr>
          <w:sz w:val="22"/>
          <w:szCs w:val="22"/>
        </w:rPr>
      </w:pPr>
      <w:r w:rsidRPr="00C56E19">
        <w:rPr>
          <w:sz w:val="22"/>
          <w:szCs w:val="22"/>
        </w:rPr>
        <w:t xml:space="preserve">Mr Irvin has held </w:t>
      </w:r>
      <w:r w:rsidR="005C0306">
        <w:rPr>
          <w:sz w:val="22"/>
          <w:szCs w:val="22"/>
        </w:rPr>
        <w:t xml:space="preserve">Street Trading </w:t>
      </w:r>
      <w:r w:rsidRPr="00C56E19">
        <w:rPr>
          <w:sz w:val="22"/>
          <w:szCs w:val="22"/>
        </w:rPr>
        <w:t>Consent for the period 1</w:t>
      </w:r>
      <w:r w:rsidRPr="00C56E19">
        <w:rPr>
          <w:sz w:val="22"/>
          <w:szCs w:val="22"/>
          <w:vertAlign w:val="superscript"/>
        </w:rPr>
        <w:t>st</w:t>
      </w:r>
      <w:r w:rsidRPr="00C56E19">
        <w:rPr>
          <w:sz w:val="22"/>
          <w:szCs w:val="22"/>
        </w:rPr>
        <w:t xml:space="preserve"> April 2017 to 31</w:t>
      </w:r>
      <w:r w:rsidRPr="00C56E19">
        <w:rPr>
          <w:sz w:val="22"/>
          <w:szCs w:val="22"/>
          <w:vertAlign w:val="superscript"/>
        </w:rPr>
        <w:t>st</w:t>
      </w:r>
      <w:r w:rsidRPr="00C56E19">
        <w:rPr>
          <w:sz w:val="22"/>
          <w:szCs w:val="22"/>
        </w:rPr>
        <w:t xml:space="preserve"> March 2018. </w:t>
      </w:r>
      <w:r w:rsidR="00C26BFA" w:rsidRPr="00C56E19">
        <w:rPr>
          <w:sz w:val="22"/>
          <w:szCs w:val="22"/>
        </w:rPr>
        <w:t xml:space="preserve"> </w:t>
      </w:r>
      <w:r w:rsidRPr="00C56E19">
        <w:rPr>
          <w:sz w:val="22"/>
          <w:szCs w:val="22"/>
        </w:rPr>
        <w:t xml:space="preserve">A copy of Mr Irvin’s Consent 2017/2018 and General Conditions for Annual </w:t>
      </w:r>
      <w:r w:rsidRPr="00C56E19">
        <w:rPr>
          <w:sz w:val="22"/>
          <w:szCs w:val="22"/>
        </w:rPr>
        <w:lastRenderedPageBreak/>
        <w:t xml:space="preserve">Street Trading Consents can be found at Appendix B of this report.  </w:t>
      </w:r>
      <w:r w:rsidR="00C54F21" w:rsidRPr="00C56E19">
        <w:rPr>
          <w:sz w:val="22"/>
          <w:szCs w:val="22"/>
        </w:rPr>
        <w:t xml:space="preserve">The renewal is being referred to the Sub Committee in accordance with the Street Trading Policy as complaints have been received by the Council regarding the site during the 2017/2018 </w:t>
      </w:r>
      <w:r w:rsidR="004752F8" w:rsidRPr="00C56E19">
        <w:rPr>
          <w:sz w:val="22"/>
          <w:szCs w:val="22"/>
        </w:rPr>
        <w:t>Consent period.</w:t>
      </w:r>
    </w:p>
    <w:p w:rsidR="007F6D90" w:rsidRDefault="007F6D90" w:rsidP="007F6D90">
      <w:pPr>
        <w:pStyle w:val="ListParagraph"/>
        <w:rPr>
          <w:sz w:val="22"/>
          <w:szCs w:val="22"/>
        </w:rPr>
      </w:pPr>
    </w:p>
    <w:p w:rsidR="007F6D90" w:rsidRDefault="007F6D90" w:rsidP="00256A82">
      <w:pPr>
        <w:pStyle w:val="ListParagraph"/>
        <w:ind w:left="0"/>
        <w:rPr>
          <w:b/>
          <w:sz w:val="22"/>
          <w:szCs w:val="22"/>
        </w:rPr>
      </w:pPr>
      <w:r>
        <w:rPr>
          <w:b/>
          <w:sz w:val="22"/>
          <w:szCs w:val="22"/>
        </w:rPr>
        <w:t>Legislative Background/Legal Framework</w:t>
      </w:r>
    </w:p>
    <w:p w:rsidR="00256A82" w:rsidRPr="007F6D90" w:rsidRDefault="00256A82" w:rsidP="00256A82">
      <w:pPr>
        <w:pStyle w:val="ListParagraph"/>
        <w:ind w:left="426"/>
        <w:rPr>
          <w:b/>
          <w:sz w:val="22"/>
          <w:szCs w:val="22"/>
        </w:rPr>
      </w:pPr>
    </w:p>
    <w:p w:rsidR="007F6D90" w:rsidRDefault="00256A82" w:rsidP="00C26BFA">
      <w:pPr>
        <w:pStyle w:val="ListParagraph"/>
        <w:numPr>
          <w:ilvl w:val="0"/>
          <w:numId w:val="3"/>
        </w:numPr>
        <w:rPr>
          <w:sz w:val="22"/>
          <w:szCs w:val="22"/>
        </w:rPr>
      </w:pPr>
      <w:r>
        <w:rPr>
          <w:sz w:val="22"/>
          <w:szCs w:val="22"/>
        </w:rPr>
        <w:t xml:space="preserve">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w:t>
      </w:r>
      <w:r w:rsidR="00FE30BC">
        <w:rPr>
          <w:sz w:val="22"/>
          <w:szCs w:val="22"/>
        </w:rPr>
        <w:t>the Sub Committee should only take into account relevant considerations; must give each applicant or consent holder a fair hearing and should give reasons for their decisions.</w:t>
      </w:r>
    </w:p>
    <w:p w:rsidR="00FE30BC" w:rsidRDefault="00FE30BC" w:rsidP="00FE30BC">
      <w:pPr>
        <w:pStyle w:val="ListParagraph"/>
        <w:rPr>
          <w:sz w:val="22"/>
          <w:szCs w:val="22"/>
        </w:rPr>
      </w:pPr>
    </w:p>
    <w:p w:rsidR="00FE30BC" w:rsidRDefault="00FE30BC" w:rsidP="00C26BFA">
      <w:pPr>
        <w:pStyle w:val="ListParagraph"/>
        <w:numPr>
          <w:ilvl w:val="0"/>
          <w:numId w:val="3"/>
        </w:numPr>
        <w:rPr>
          <w:sz w:val="22"/>
          <w:szCs w:val="22"/>
        </w:rPr>
      </w:pPr>
      <w:r>
        <w:rPr>
          <w:sz w:val="22"/>
          <w:szCs w:val="22"/>
        </w:rPr>
        <w:t>Street trading consent is granted subject to the Council’s standard conditions. The Sub Committee may amend or attach any additional conditions to a Consent that it considers “reasonably necessary”.</w:t>
      </w:r>
    </w:p>
    <w:p w:rsidR="00FE30BC" w:rsidRPr="00FE30BC" w:rsidRDefault="00FE30BC" w:rsidP="00FE30BC">
      <w:pPr>
        <w:pStyle w:val="ListParagraph"/>
        <w:rPr>
          <w:sz w:val="22"/>
          <w:szCs w:val="22"/>
        </w:rPr>
      </w:pPr>
    </w:p>
    <w:p w:rsidR="00FE30BC" w:rsidRPr="00FE30BC" w:rsidRDefault="00FE30BC" w:rsidP="00FE30BC">
      <w:pPr>
        <w:rPr>
          <w:b/>
          <w:sz w:val="22"/>
          <w:szCs w:val="22"/>
        </w:rPr>
      </w:pPr>
      <w:r>
        <w:rPr>
          <w:b/>
          <w:sz w:val="22"/>
          <w:szCs w:val="22"/>
        </w:rPr>
        <w:t>Policy Considerations</w:t>
      </w:r>
    </w:p>
    <w:p w:rsidR="00FE30BC" w:rsidRPr="00FE30BC" w:rsidRDefault="00FE30BC" w:rsidP="00FE30BC">
      <w:pPr>
        <w:pStyle w:val="ListParagraph"/>
        <w:rPr>
          <w:sz w:val="22"/>
          <w:szCs w:val="22"/>
        </w:rPr>
      </w:pPr>
    </w:p>
    <w:p w:rsidR="00225155" w:rsidRPr="004E583E" w:rsidRDefault="00F4018B" w:rsidP="004E583E">
      <w:pPr>
        <w:pStyle w:val="ListParagraph"/>
        <w:numPr>
          <w:ilvl w:val="0"/>
          <w:numId w:val="3"/>
        </w:numPr>
        <w:rPr>
          <w:sz w:val="22"/>
          <w:szCs w:val="22"/>
        </w:rPr>
      </w:pPr>
      <w:r>
        <w:rPr>
          <w:sz w:val="22"/>
          <w:szCs w:val="22"/>
        </w:rPr>
        <w:t xml:space="preserve">The Street Trading Policy was adopted by Council in April 2015 and came into force on 14 April 2015 for existing traders.  </w:t>
      </w:r>
      <w:r w:rsidR="008D5446" w:rsidRPr="004E583E">
        <w:rPr>
          <w:sz w:val="22"/>
          <w:szCs w:val="22"/>
        </w:rPr>
        <w:t>Paragraph 5.17</w:t>
      </w:r>
      <w:r w:rsidR="00225155" w:rsidRPr="004E583E">
        <w:rPr>
          <w:sz w:val="22"/>
          <w:szCs w:val="22"/>
        </w:rPr>
        <w:t xml:space="preserve"> of the Street Trading Policy states:</w:t>
      </w:r>
    </w:p>
    <w:p w:rsidR="00225155" w:rsidRDefault="00225155" w:rsidP="00225155">
      <w:pPr>
        <w:pStyle w:val="ListParagraph"/>
        <w:rPr>
          <w:sz w:val="22"/>
          <w:szCs w:val="22"/>
        </w:rPr>
      </w:pPr>
    </w:p>
    <w:p w:rsidR="00225155" w:rsidRDefault="008D5446" w:rsidP="00225155">
      <w:pPr>
        <w:pStyle w:val="ListParagraph"/>
        <w:rPr>
          <w:sz w:val="22"/>
          <w:szCs w:val="22"/>
        </w:rPr>
      </w:pPr>
      <w:r>
        <w:rPr>
          <w:sz w:val="22"/>
          <w:szCs w:val="22"/>
        </w:rPr>
        <w:t>“5.17</w:t>
      </w:r>
      <w:r w:rsidR="00225155">
        <w:rPr>
          <w:sz w:val="22"/>
          <w:szCs w:val="22"/>
        </w:rPr>
        <w:t xml:space="preserve"> </w:t>
      </w:r>
      <w:r w:rsidRPr="008D5446">
        <w:rPr>
          <w:color w:val="272627"/>
          <w:sz w:val="22"/>
          <w:szCs w:val="22"/>
        </w:rPr>
        <w:t>Where a renewal application has been made and there have been complaints or enforcement issues or fees have not been paid on time, then the application will be referred to the Licensing</w:t>
      </w:r>
      <w:r>
        <w:rPr>
          <w:color w:val="272627"/>
          <w:sz w:val="22"/>
          <w:szCs w:val="22"/>
        </w:rPr>
        <w:t xml:space="preserve"> and Registration Sub-Committee.“</w:t>
      </w:r>
    </w:p>
    <w:p w:rsidR="00DB5826" w:rsidRPr="00F35700" w:rsidRDefault="00DB5826" w:rsidP="00F35700">
      <w:pPr>
        <w:rPr>
          <w:sz w:val="22"/>
          <w:szCs w:val="22"/>
        </w:rPr>
      </w:pPr>
    </w:p>
    <w:p w:rsidR="00225155" w:rsidRPr="00AA16CF" w:rsidRDefault="00AA16CF" w:rsidP="00845F2C">
      <w:pPr>
        <w:pStyle w:val="ListParagraph"/>
        <w:tabs>
          <w:tab w:val="left" w:pos="142"/>
        </w:tabs>
        <w:ind w:left="0"/>
        <w:rPr>
          <w:b/>
          <w:sz w:val="22"/>
          <w:szCs w:val="22"/>
        </w:rPr>
      </w:pPr>
      <w:r>
        <w:rPr>
          <w:b/>
          <w:sz w:val="22"/>
          <w:szCs w:val="22"/>
        </w:rPr>
        <w:t>Reasons for Referral to Licensing &amp; Registration Sub Committee</w:t>
      </w:r>
    </w:p>
    <w:p w:rsidR="005C0306" w:rsidRDefault="005C0306" w:rsidP="005C0306">
      <w:pPr>
        <w:rPr>
          <w:sz w:val="22"/>
          <w:szCs w:val="22"/>
        </w:rPr>
      </w:pPr>
    </w:p>
    <w:p w:rsidR="00AF6FCF" w:rsidRDefault="00AA16CF" w:rsidP="008C4206">
      <w:pPr>
        <w:pStyle w:val="ListParagraph"/>
        <w:numPr>
          <w:ilvl w:val="0"/>
          <w:numId w:val="3"/>
        </w:numPr>
        <w:rPr>
          <w:sz w:val="22"/>
          <w:szCs w:val="22"/>
        </w:rPr>
      </w:pPr>
      <w:r w:rsidRPr="005C0306">
        <w:rPr>
          <w:sz w:val="22"/>
          <w:szCs w:val="22"/>
        </w:rPr>
        <w:t xml:space="preserve">This matter has been referred to </w:t>
      </w:r>
      <w:r w:rsidR="004E583E" w:rsidRPr="005C0306">
        <w:rPr>
          <w:sz w:val="22"/>
          <w:szCs w:val="22"/>
        </w:rPr>
        <w:t xml:space="preserve">the </w:t>
      </w:r>
      <w:r w:rsidRPr="005C0306">
        <w:rPr>
          <w:sz w:val="22"/>
          <w:szCs w:val="22"/>
        </w:rPr>
        <w:t>Sub Committee</w:t>
      </w:r>
      <w:r w:rsidR="004E583E" w:rsidRPr="005C0306">
        <w:rPr>
          <w:sz w:val="22"/>
          <w:szCs w:val="22"/>
        </w:rPr>
        <w:t xml:space="preserve"> in accordance with paragraph 5.17 of the Policy due to</w:t>
      </w:r>
      <w:r w:rsidR="000F56E2" w:rsidRPr="005C0306">
        <w:rPr>
          <w:sz w:val="22"/>
          <w:szCs w:val="22"/>
        </w:rPr>
        <w:t xml:space="preserve"> two separate</w:t>
      </w:r>
      <w:r w:rsidR="004E583E" w:rsidRPr="005C0306">
        <w:rPr>
          <w:sz w:val="22"/>
          <w:szCs w:val="22"/>
        </w:rPr>
        <w:t xml:space="preserve"> complaints received from businesses in the vicinity of</w:t>
      </w:r>
      <w:r w:rsidRPr="005C0306">
        <w:rPr>
          <w:sz w:val="22"/>
          <w:szCs w:val="22"/>
        </w:rPr>
        <w:t xml:space="preserve"> Mr Irvin</w:t>
      </w:r>
      <w:r w:rsidR="004E583E" w:rsidRPr="005C0306">
        <w:rPr>
          <w:sz w:val="22"/>
          <w:szCs w:val="22"/>
        </w:rPr>
        <w:t>’s site concerning obstruction and size of the stall.</w:t>
      </w:r>
      <w:r w:rsidR="00AF6FCF" w:rsidRPr="005C0306">
        <w:rPr>
          <w:sz w:val="22"/>
          <w:szCs w:val="22"/>
        </w:rPr>
        <w:t xml:space="preserve"> The </w:t>
      </w:r>
      <w:r w:rsidR="001D021D" w:rsidRPr="005C0306">
        <w:rPr>
          <w:sz w:val="22"/>
          <w:szCs w:val="22"/>
        </w:rPr>
        <w:t>first complaint is</w:t>
      </w:r>
      <w:r w:rsidR="00AF6FCF" w:rsidRPr="005C0306">
        <w:rPr>
          <w:sz w:val="22"/>
          <w:szCs w:val="22"/>
        </w:rPr>
        <w:t xml:space="preserve"> regarding the obstruction of marketing on commercial premises du</w:t>
      </w:r>
      <w:r w:rsidR="001D021D" w:rsidRPr="005C0306">
        <w:rPr>
          <w:sz w:val="22"/>
          <w:szCs w:val="22"/>
        </w:rPr>
        <w:t xml:space="preserve">e </w:t>
      </w:r>
      <w:r w:rsidR="00AF6FCF" w:rsidRPr="005C0306">
        <w:rPr>
          <w:sz w:val="22"/>
          <w:szCs w:val="22"/>
        </w:rPr>
        <w:t>t</w:t>
      </w:r>
      <w:r w:rsidR="001D021D" w:rsidRPr="005C0306">
        <w:rPr>
          <w:sz w:val="22"/>
          <w:szCs w:val="22"/>
        </w:rPr>
        <w:t>o</w:t>
      </w:r>
      <w:r w:rsidR="00AF6FCF" w:rsidRPr="005C0306">
        <w:rPr>
          <w:sz w:val="22"/>
          <w:szCs w:val="22"/>
        </w:rPr>
        <w:t xml:space="preserve"> the stall</w:t>
      </w:r>
      <w:r w:rsidR="005C0306" w:rsidRPr="005C0306">
        <w:rPr>
          <w:sz w:val="22"/>
          <w:szCs w:val="22"/>
        </w:rPr>
        <w:t>’</w:t>
      </w:r>
      <w:r w:rsidR="00AF6FCF" w:rsidRPr="005C0306">
        <w:rPr>
          <w:sz w:val="22"/>
          <w:szCs w:val="22"/>
        </w:rPr>
        <w:t>s location</w:t>
      </w:r>
      <w:r w:rsidR="001D021D" w:rsidRPr="005C0306">
        <w:rPr>
          <w:sz w:val="22"/>
          <w:szCs w:val="22"/>
        </w:rPr>
        <w:t xml:space="preserve">. The second complaint is regarding </w:t>
      </w:r>
      <w:r w:rsidR="00AF6FCF" w:rsidRPr="005C0306">
        <w:rPr>
          <w:sz w:val="22"/>
          <w:szCs w:val="22"/>
        </w:rPr>
        <w:t>obstruction of the line of visibility</w:t>
      </w:r>
      <w:r w:rsidR="001D021D" w:rsidRPr="005C0306">
        <w:rPr>
          <w:sz w:val="22"/>
          <w:szCs w:val="22"/>
        </w:rPr>
        <w:t xml:space="preserve"> of commercial premises due to the positioning and overall size of the stall. </w:t>
      </w:r>
    </w:p>
    <w:p w:rsidR="005C0306" w:rsidRPr="005C0306" w:rsidRDefault="005C0306" w:rsidP="005C0306">
      <w:pPr>
        <w:pStyle w:val="ListParagraph"/>
        <w:rPr>
          <w:sz w:val="22"/>
          <w:szCs w:val="22"/>
        </w:rPr>
      </w:pPr>
    </w:p>
    <w:p w:rsidR="00C61E46" w:rsidRDefault="00E000EE" w:rsidP="005C0306">
      <w:pPr>
        <w:pStyle w:val="ListParagraph"/>
        <w:numPr>
          <w:ilvl w:val="0"/>
          <w:numId w:val="3"/>
        </w:numPr>
        <w:rPr>
          <w:sz w:val="22"/>
          <w:szCs w:val="22"/>
        </w:rPr>
      </w:pPr>
      <w:r w:rsidRPr="005C0306">
        <w:rPr>
          <w:sz w:val="22"/>
          <w:szCs w:val="22"/>
        </w:rPr>
        <w:t>Up</w:t>
      </w:r>
      <w:r w:rsidR="001D021D" w:rsidRPr="005C0306">
        <w:rPr>
          <w:sz w:val="22"/>
          <w:szCs w:val="22"/>
        </w:rPr>
        <w:t xml:space="preserve">on </w:t>
      </w:r>
      <w:r w:rsidR="00BB488A" w:rsidRPr="005C0306">
        <w:rPr>
          <w:sz w:val="22"/>
          <w:szCs w:val="22"/>
        </w:rPr>
        <w:t>receipt of the complaints</w:t>
      </w:r>
      <w:r w:rsidRPr="005C0306">
        <w:rPr>
          <w:sz w:val="22"/>
          <w:szCs w:val="22"/>
        </w:rPr>
        <w:t>,</w:t>
      </w:r>
      <w:r w:rsidR="00BB488A" w:rsidRPr="005C0306">
        <w:rPr>
          <w:sz w:val="22"/>
          <w:szCs w:val="22"/>
        </w:rPr>
        <w:t xml:space="preserve"> visit</w:t>
      </w:r>
      <w:r w:rsidRPr="005C0306">
        <w:rPr>
          <w:sz w:val="22"/>
          <w:szCs w:val="22"/>
        </w:rPr>
        <w:t>s were</w:t>
      </w:r>
      <w:r w:rsidR="001D021D" w:rsidRPr="005C0306">
        <w:rPr>
          <w:sz w:val="22"/>
          <w:szCs w:val="22"/>
        </w:rPr>
        <w:t xml:space="preserve"> made to the site</w:t>
      </w:r>
      <w:r w:rsidR="00C61E46">
        <w:rPr>
          <w:sz w:val="22"/>
          <w:szCs w:val="22"/>
        </w:rPr>
        <w:t>.  It was noted that the stall had exceeded the size permitt</w:t>
      </w:r>
      <w:r w:rsidR="00931E82">
        <w:rPr>
          <w:sz w:val="22"/>
          <w:szCs w:val="22"/>
        </w:rPr>
        <w:t>ed by the Consent and that free</w:t>
      </w:r>
      <w:r w:rsidR="00C61E46">
        <w:rPr>
          <w:sz w:val="22"/>
          <w:szCs w:val="22"/>
        </w:rPr>
        <w:t>standing rack</w:t>
      </w:r>
      <w:r w:rsidR="00931E82">
        <w:rPr>
          <w:sz w:val="22"/>
          <w:szCs w:val="22"/>
        </w:rPr>
        <w:t>s</w:t>
      </w:r>
      <w:r w:rsidR="00C61E46">
        <w:rPr>
          <w:sz w:val="22"/>
          <w:szCs w:val="22"/>
        </w:rPr>
        <w:t xml:space="preserve"> and displays were in use which is in</w:t>
      </w:r>
      <w:r w:rsidR="000F56E2" w:rsidRPr="005C0306">
        <w:rPr>
          <w:sz w:val="22"/>
          <w:szCs w:val="22"/>
        </w:rPr>
        <w:t xml:space="preserve"> breach of condition 8 under the General Conditions for Annual an</w:t>
      </w:r>
      <w:r w:rsidR="008C4206" w:rsidRPr="005C0306">
        <w:rPr>
          <w:sz w:val="22"/>
          <w:szCs w:val="22"/>
        </w:rPr>
        <w:t>d Weekly Street Trading Consent.</w:t>
      </w:r>
      <w:r w:rsidR="0069611E" w:rsidRPr="005C0306">
        <w:rPr>
          <w:sz w:val="22"/>
          <w:szCs w:val="22"/>
        </w:rPr>
        <w:t xml:space="preserve"> </w:t>
      </w:r>
    </w:p>
    <w:p w:rsidR="00C61E46" w:rsidRPr="00C61E46" w:rsidRDefault="00C61E46" w:rsidP="00C61E46">
      <w:pPr>
        <w:pStyle w:val="ListParagraph"/>
        <w:rPr>
          <w:sz w:val="22"/>
          <w:szCs w:val="22"/>
        </w:rPr>
      </w:pPr>
    </w:p>
    <w:p w:rsidR="00C61E46" w:rsidRPr="0067798C" w:rsidRDefault="00C61E46" w:rsidP="00C61E46">
      <w:pPr>
        <w:pStyle w:val="ListParagraph"/>
        <w:ind w:left="1440" w:hanging="447"/>
        <w:rPr>
          <w:sz w:val="22"/>
          <w:szCs w:val="22"/>
        </w:rPr>
      </w:pPr>
      <w:r>
        <w:rPr>
          <w:sz w:val="22"/>
          <w:szCs w:val="22"/>
        </w:rPr>
        <w:t>“8</w:t>
      </w:r>
      <w:r>
        <w:rPr>
          <w:sz w:val="22"/>
          <w:szCs w:val="22"/>
        </w:rPr>
        <w:tab/>
        <w:t>The Consent Holder shall ensure that the stall/vehicle is positioned only in the allocated space (which may be marked on the ground) in the Consent Street for which the Street Trading Consent is issued. All goods shall be displayed on the stall and no freestanding racks or displays are permitted. If I Consent Holder or operator/assistant is request to move the vehicle/stall by an authorised Council Officer or Police Officer they shall immediately comply with that request.”</w:t>
      </w:r>
    </w:p>
    <w:p w:rsidR="00C61E46" w:rsidRDefault="00C61E46" w:rsidP="00C61E46">
      <w:pPr>
        <w:pStyle w:val="ListParagraph"/>
        <w:rPr>
          <w:sz w:val="22"/>
          <w:szCs w:val="22"/>
        </w:rPr>
      </w:pPr>
    </w:p>
    <w:p w:rsidR="00C61E46" w:rsidRPr="00C61E46" w:rsidRDefault="00C61E46" w:rsidP="00C61E46">
      <w:pPr>
        <w:pStyle w:val="ListParagraph"/>
        <w:rPr>
          <w:sz w:val="22"/>
          <w:szCs w:val="22"/>
        </w:rPr>
      </w:pPr>
    </w:p>
    <w:p w:rsidR="002B5786" w:rsidRDefault="009C462C" w:rsidP="002B5786">
      <w:pPr>
        <w:pStyle w:val="ListParagraph"/>
        <w:numPr>
          <w:ilvl w:val="0"/>
          <w:numId w:val="3"/>
        </w:numPr>
        <w:rPr>
          <w:sz w:val="22"/>
          <w:szCs w:val="22"/>
        </w:rPr>
      </w:pPr>
      <w:r>
        <w:rPr>
          <w:sz w:val="22"/>
          <w:szCs w:val="22"/>
        </w:rPr>
        <w:lastRenderedPageBreak/>
        <w:t xml:space="preserve">Mr Irvin was advised of the breach, and required to reduce the size of the stall, which he complied with initially. However, the stall has increased in size again in recent weeks. </w:t>
      </w:r>
    </w:p>
    <w:p w:rsidR="00C61E46" w:rsidRPr="00C61E46" w:rsidRDefault="00C61E46" w:rsidP="00C61E46">
      <w:pPr>
        <w:pStyle w:val="ListParagraph"/>
        <w:rPr>
          <w:sz w:val="22"/>
          <w:szCs w:val="22"/>
        </w:rPr>
      </w:pPr>
    </w:p>
    <w:p w:rsidR="002B5786" w:rsidRDefault="002B5786" w:rsidP="002B5786">
      <w:pPr>
        <w:rPr>
          <w:b/>
          <w:sz w:val="22"/>
          <w:szCs w:val="22"/>
        </w:rPr>
      </w:pPr>
      <w:r>
        <w:rPr>
          <w:b/>
          <w:sz w:val="22"/>
          <w:szCs w:val="22"/>
        </w:rPr>
        <w:t>Enforcement History</w:t>
      </w:r>
    </w:p>
    <w:p w:rsidR="002B5786" w:rsidRPr="002B5786" w:rsidRDefault="002B5786" w:rsidP="002B5786">
      <w:pPr>
        <w:rPr>
          <w:b/>
          <w:sz w:val="22"/>
          <w:szCs w:val="22"/>
        </w:rPr>
      </w:pPr>
    </w:p>
    <w:p w:rsidR="002B5786" w:rsidRPr="0067798C" w:rsidRDefault="002B5786" w:rsidP="0067798C">
      <w:pPr>
        <w:pStyle w:val="ListParagraph"/>
        <w:numPr>
          <w:ilvl w:val="0"/>
          <w:numId w:val="3"/>
        </w:numPr>
        <w:rPr>
          <w:iCs/>
          <w:color w:val="000000"/>
          <w:sz w:val="22"/>
          <w:szCs w:val="22"/>
        </w:rPr>
      </w:pPr>
      <w:r w:rsidRPr="002B5786">
        <w:rPr>
          <w:iCs/>
          <w:color w:val="000000"/>
          <w:sz w:val="22"/>
          <w:szCs w:val="22"/>
        </w:rPr>
        <w:t xml:space="preserve">Mr Irvin was first granted consent to trade in Market Street in 2016. Prior </w:t>
      </w:r>
      <w:r>
        <w:rPr>
          <w:iCs/>
          <w:color w:val="000000"/>
          <w:sz w:val="22"/>
          <w:szCs w:val="22"/>
        </w:rPr>
        <w:t>to this he traded from a site on</w:t>
      </w:r>
      <w:r w:rsidRPr="002B5786">
        <w:rPr>
          <w:iCs/>
          <w:color w:val="000000"/>
          <w:sz w:val="22"/>
          <w:szCs w:val="22"/>
        </w:rPr>
        <w:t xml:space="preserve"> St Ebbes</w:t>
      </w:r>
      <w:r w:rsidR="005C0306">
        <w:rPr>
          <w:iCs/>
          <w:color w:val="000000"/>
          <w:sz w:val="22"/>
          <w:szCs w:val="22"/>
        </w:rPr>
        <w:t xml:space="preserve"> Street</w:t>
      </w:r>
      <w:r w:rsidRPr="002B5786">
        <w:rPr>
          <w:iCs/>
          <w:color w:val="000000"/>
          <w:sz w:val="22"/>
          <w:szCs w:val="22"/>
        </w:rPr>
        <w:t xml:space="preserve"> where he was also subject to complaints over the size of his stall and breaches of condition concerning the use of freestanding displays. He appeared before the Licensing and Registration Sub-Committee in 2011 and 2012 over these matters and the decisions from those hea</w:t>
      </w:r>
      <w:r w:rsidR="00E1536C">
        <w:rPr>
          <w:iCs/>
          <w:color w:val="000000"/>
          <w:sz w:val="22"/>
          <w:szCs w:val="22"/>
        </w:rPr>
        <w:t>rings are attached at Appendix C</w:t>
      </w:r>
      <w:r w:rsidRPr="002B5786">
        <w:rPr>
          <w:iCs/>
          <w:color w:val="000000"/>
          <w:sz w:val="22"/>
          <w:szCs w:val="22"/>
        </w:rPr>
        <w:t>.</w:t>
      </w:r>
    </w:p>
    <w:p w:rsidR="00304A22" w:rsidRDefault="00304A22" w:rsidP="00304A22">
      <w:pPr>
        <w:rPr>
          <w:b/>
          <w:sz w:val="22"/>
          <w:szCs w:val="22"/>
        </w:rPr>
      </w:pPr>
    </w:p>
    <w:p w:rsidR="00304A22" w:rsidRDefault="00304A22" w:rsidP="00304A22">
      <w:pPr>
        <w:rPr>
          <w:b/>
          <w:sz w:val="22"/>
          <w:szCs w:val="22"/>
        </w:rPr>
      </w:pPr>
      <w:r w:rsidRPr="00304A22">
        <w:rPr>
          <w:b/>
          <w:sz w:val="22"/>
          <w:szCs w:val="22"/>
        </w:rPr>
        <w:t>Financial Implications</w:t>
      </w:r>
    </w:p>
    <w:p w:rsidR="00304A22" w:rsidRPr="00304A22" w:rsidRDefault="00304A22" w:rsidP="00304A22">
      <w:pPr>
        <w:rPr>
          <w:b/>
          <w:sz w:val="22"/>
          <w:szCs w:val="22"/>
        </w:rPr>
      </w:pPr>
    </w:p>
    <w:p w:rsidR="00304A22" w:rsidRDefault="00F05AAB" w:rsidP="00527E96">
      <w:pPr>
        <w:pStyle w:val="ListParagraph"/>
        <w:numPr>
          <w:ilvl w:val="0"/>
          <w:numId w:val="3"/>
        </w:numPr>
        <w:rPr>
          <w:sz w:val="22"/>
          <w:szCs w:val="22"/>
        </w:rPr>
      </w:pPr>
      <w:r>
        <w:rPr>
          <w:sz w:val="22"/>
          <w:szCs w:val="22"/>
        </w:rPr>
        <w:t>The Council collects fees for the street trading function.  Predicted income from licence fees are included in the Council’s budget.</w:t>
      </w:r>
    </w:p>
    <w:p w:rsidR="00F05AAB" w:rsidRDefault="00F05AAB" w:rsidP="00F05AAB">
      <w:pPr>
        <w:pStyle w:val="ListParagraph"/>
        <w:rPr>
          <w:sz w:val="22"/>
          <w:szCs w:val="22"/>
        </w:rPr>
      </w:pPr>
    </w:p>
    <w:p w:rsidR="00F05AAB" w:rsidRPr="00F05AAB" w:rsidRDefault="00F05AAB" w:rsidP="00F05AAB">
      <w:pPr>
        <w:pStyle w:val="ListParagraph"/>
        <w:ind w:left="0"/>
        <w:rPr>
          <w:b/>
          <w:sz w:val="22"/>
          <w:szCs w:val="22"/>
        </w:rPr>
      </w:pPr>
      <w:r>
        <w:rPr>
          <w:b/>
          <w:sz w:val="22"/>
          <w:szCs w:val="22"/>
        </w:rPr>
        <w:t>Legal Implications</w:t>
      </w:r>
    </w:p>
    <w:p w:rsidR="00304A22" w:rsidRPr="00304A22" w:rsidRDefault="00304A22" w:rsidP="00304A22">
      <w:pPr>
        <w:pStyle w:val="ListParagraph"/>
        <w:rPr>
          <w:sz w:val="22"/>
          <w:szCs w:val="22"/>
        </w:rPr>
      </w:pPr>
    </w:p>
    <w:p w:rsidR="00F05AAB" w:rsidRDefault="00F05AAB" w:rsidP="00527E96">
      <w:pPr>
        <w:pStyle w:val="ListParagraph"/>
        <w:numPr>
          <w:ilvl w:val="0"/>
          <w:numId w:val="3"/>
        </w:numPr>
        <w:rPr>
          <w:sz w:val="22"/>
          <w:szCs w:val="22"/>
        </w:rPr>
      </w:pPr>
      <w:r w:rsidRPr="00F05AAB">
        <w:rPr>
          <w:sz w:val="22"/>
          <w:szCs w:val="22"/>
        </w:rPr>
        <w:t>The Sub Committee may grant a Street Trading Consent if it ‘thinks fit’, see paragraph 3 above.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rsidR="00F05AAB" w:rsidRDefault="00F05AAB" w:rsidP="00F05AAB">
      <w:pPr>
        <w:pStyle w:val="ListParagraph"/>
        <w:rPr>
          <w:sz w:val="22"/>
          <w:szCs w:val="22"/>
        </w:rPr>
      </w:pPr>
    </w:p>
    <w:p w:rsidR="00F05AAB" w:rsidRDefault="00F05AAB" w:rsidP="00527E96">
      <w:pPr>
        <w:pStyle w:val="ListParagraph"/>
        <w:numPr>
          <w:ilvl w:val="0"/>
          <w:numId w:val="3"/>
        </w:numPr>
        <w:rPr>
          <w:sz w:val="22"/>
          <w:szCs w:val="22"/>
        </w:rPr>
      </w:pPr>
      <w:r>
        <w:rPr>
          <w:sz w:val="22"/>
          <w:szCs w:val="22"/>
        </w:rPr>
        <w:t>Any determination of an application for Consent must be proportionate taking into account all relevant circumstances and the Consent holder’s right to a fair hearing.  An application should not be refused arbitrarily and without clear reason.</w:t>
      </w:r>
    </w:p>
    <w:p w:rsidR="00F05AAB" w:rsidRPr="00F05AAB" w:rsidRDefault="00F05AAB" w:rsidP="00F05AAB">
      <w:pPr>
        <w:pStyle w:val="ListParagraph"/>
        <w:rPr>
          <w:sz w:val="22"/>
          <w:szCs w:val="22"/>
        </w:rPr>
      </w:pPr>
    </w:p>
    <w:p w:rsidR="00F05AAB" w:rsidRPr="00F05AAB" w:rsidRDefault="00F05AAB" w:rsidP="00845F2C">
      <w:pPr>
        <w:pStyle w:val="ListParagraph"/>
        <w:ind w:left="0"/>
        <w:rPr>
          <w:b/>
          <w:sz w:val="22"/>
          <w:szCs w:val="22"/>
        </w:rPr>
      </w:pPr>
      <w:r>
        <w:rPr>
          <w:b/>
          <w:sz w:val="22"/>
          <w:szCs w:val="22"/>
        </w:rPr>
        <w:t>Human Rights Act Considerations</w:t>
      </w:r>
    </w:p>
    <w:p w:rsidR="00F05AAB" w:rsidRPr="00F05AAB" w:rsidRDefault="00F05AAB" w:rsidP="00F05AAB">
      <w:pPr>
        <w:pStyle w:val="ListParagraph"/>
        <w:rPr>
          <w:sz w:val="22"/>
          <w:szCs w:val="22"/>
        </w:rPr>
      </w:pPr>
    </w:p>
    <w:p w:rsidR="004E583E" w:rsidRDefault="00F05AAB" w:rsidP="004E583E">
      <w:pPr>
        <w:pStyle w:val="ListParagraph"/>
        <w:numPr>
          <w:ilvl w:val="0"/>
          <w:numId w:val="3"/>
        </w:numPr>
        <w:rPr>
          <w:sz w:val="22"/>
          <w:szCs w:val="22"/>
        </w:rPr>
      </w:pPr>
      <w:r>
        <w:rPr>
          <w:sz w:val="22"/>
          <w:szCs w:val="22"/>
        </w:rPr>
        <w:t xml:space="preserve">Article 1 of the first Protocol of the European Convention </w:t>
      </w:r>
      <w:r w:rsidR="00845F2C">
        <w:rPr>
          <w:sz w:val="22"/>
          <w:szCs w:val="22"/>
        </w:rPr>
        <w:t>on Human Rights provides that e</w:t>
      </w:r>
      <w:r>
        <w:rPr>
          <w:sz w:val="22"/>
          <w:szCs w:val="22"/>
        </w:rPr>
        <w:t xml:space="preserve">very </w:t>
      </w:r>
      <w:r w:rsidR="00845F2C">
        <w:rPr>
          <w:sz w:val="22"/>
          <w:szCs w:val="22"/>
        </w:rPr>
        <w:t>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rsidR="004E583E" w:rsidRDefault="004E583E" w:rsidP="004E583E">
      <w:pPr>
        <w:pStyle w:val="ListParagraph"/>
        <w:rPr>
          <w:sz w:val="22"/>
          <w:szCs w:val="22"/>
        </w:rPr>
      </w:pPr>
    </w:p>
    <w:p w:rsidR="00845F2C" w:rsidRPr="004E583E" w:rsidRDefault="00845F2C" w:rsidP="004E583E">
      <w:pPr>
        <w:pStyle w:val="ListParagraph"/>
        <w:numPr>
          <w:ilvl w:val="0"/>
          <w:numId w:val="3"/>
        </w:numPr>
        <w:rPr>
          <w:sz w:val="22"/>
          <w:szCs w:val="22"/>
        </w:rPr>
      </w:pPr>
      <w:r w:rsidRPr="004E583E">
        <w:rPr>
          <w:sz w:val="22"/>
          <w:szCs w:val="22"/>
        </w:rPr>
        <w:t>Nevertheless, with the advice of Law &amp; Governance and in the interest of fairness, the Sub Committee should consider whether any proposed action would be proportionate, in the public interest and subject to the conditions provided for by law.</w:t>
      </w:r>
    </w:p>
    <w:p w:rsidR="00845F2C" w:rsidRDefault="00845F2C" w:rsidP="00845F2C">
      <w:pPr>
        <w:pStyle w:val="ListParagraph"/>
        <w:rPr>
          <w:sz w:val="22"/>
          <w:szCs w:val="22"/>
        </w:rPr>
      </w:pPr>
    </w:p>
    <w:p w:rsidR="00845F2C" w:rsidRDefault="00845F2C" w:rsidP="00845F2C">
      <w:pPr>
        <w:pStyle w:val="ListParagraph"/>
        <w:ind w:left="0"/>
        <w:rPr>
          <w:sz w:val="22"/>
          <w:szCs w:val="22"/>
        </w:rPr>
      </w:pPr>
    </w:p>
    <w:p w:rsidR="00845F2C" w:rsidRDefault="00845F2C" w:rsidP="00845F2C">
      <w:pPr>
        <w:pStyle w:val="ListParagraph"/>
        <w:tabs>
          <w:tab w:val="left" w:pos="0"/>
        </w:tabs>
        <w:ind w:left="0"/>
        <w:rPr>
          <w:sz w:val="22"/>
          <w:szCs w:val="22"/>
        </w:rPr>
      </w:pPr>
      <w:r>
        <w:rPr>
          <w:b/>
          <w:sz w:val="22"/>
          <w:szCs w:val="22"/>
        </w:rPr>
        <w:t xml:space="preserve">Name and contact details of the author: </w:t>
      </w:r>
      <w:r>
        <w:rPr>
          <w:b/>
          <w:sz w:val="22"/>
          <w:szCs w:val="22"/>
        </w:rPr>
        <w:tab/>
      </w:r>
      <w:r w:rsidR="004E583E">
        <w:rPr>
          <w:sz w:val="22"/>
          <w:szCs w:val="22"/>
        </w:rPr>
        <w:t>Samantha Broome</w:t>
      </w:r>
    </w:p>
    <w:p w:rsidR="00845F2C" w:rsidRPr="00845F2C" w:rsidRDefault="00845F2C" w:rsidP="00845F2C">
      <w:pPr>
        <w:pStyle w:val="ListParagrap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845F2C">
        <w:rPr>
          <w:sz w:val="22"/>
          <w:szCs w:val="22"/>
        </w:rPr>
        <w:t>Tel: 01865 252558</w:t>
      </w:r>
    </w:p>
    <w:p w:rsidR="00845F2C" w:rsidRPr="00845F2C" w:rsidRDefault="00845F2C" w:rsidP="00845F2C">
      <w:pPr>
        <w:pStyle w:val="ListParagrap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hyperlink r:id="rId10" w:history="1">
        <w:r w:rsidR="004E583E" w:rsidRPr="002A0545">
          <w:rPr>
            <w:rStyle w:val="Hyperlink"/>
            <w:sz w:val="22"/>
            <w:szCs w:val="22"/>
          </w:rPr>
          <w:t>sjbroome@oxford.gov.uk</w:t>
        </w:r>
      </w:hyperlink>
      <w:r>
        <w:rPr>
          <w:sz w:val="22"/>
          <w:szCs w:val="22"/>
        </w:rPr>
        <w:t xml:space="preserve"> </w:t>
      </w:r>
    </w:p>
    <w:p w:rsidR="00845F2C" w:rsidRDefault="00845F2C" w:rsidP="00845F2C">
      <w:pPr>
        <w:pStyle w:val="ListParagrap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845F2C" w:rsidRPr="00845F2C" w:rsidRDefault="00845F2C" w:rsidP="00845F2C">
      <w:pPr>
        <w:rPr>
          <w:sz w:val="22"/>
          <w:szCs w:val="22"/>
        </w:rPr>
      </w:pPr>
    </w:p>
    <w:p w:rsidR="00845F2C" w:rsidRPr="00845F2C" w:rsidRDefault="009C462C" w:rsidP="00845F2C">
      <w:pPr>
        <w:rPr>
          <w:b/>
          <w:sz w:val="22"/>
          <w:szCs w:val="22"/>
        </w:rPr>
      </w:pPr>
      <w:r>
        <w:rPr>
          <w:b/>
          <w:sz w:val="22"/>
          <w:szCs w:val="22"/>
        </w:rPr>
        <w:t>Version number: 3</w:t>
      </w:r>
    </w:p>
    <w:sectPr w:rsidR="00845F2C" w:rsidRPr="00845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1E" w:rsidRDefault="0069611E" w:rsidP="0069611E">
      <w:r>
        <w:separator/>
      </w:r>
    </w:p>
  </w:endnote>
  <w:endnote w:type="continuationSeparator" w:id="0">
    <w:p w:rsidR="0069611E" w:rsidRDefault="0069611E" w:rsidP="0069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1E" w:rsidRDefault="0069611E" w:rsidP="0069611E">
      <w:r>
        <w:separator/>
      </w:r>
    </w:p>
  </w:footnote>
  <w:footnote w:type="continuationSeparator" w:id="0">
    <w:p w:rsidR="0069611E" w:rsidRDefault="0069611E" w:rsidP="0069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2C42"/>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2903C7"/>
    <w:multiLevelType w:val="hybridMultilevel"/>
    <w:tmpl w:val="0FC07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C45C4B"/>
    <w:multiLevelType w:val="hybridMultilevel"/>
    <w:tmpl w:val="FD3692D6"/>
    <w:lvl w:ilvl="0" w:tplc="9B20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E3F3E3B"/>
    <w:multiLevelType w:val="hybridMultilevel"/>
    <w:tmpl w:val="D820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B7"/>
    <w:rsid w:val="00070EA0"/>
    <w:rsid w:val="000B4310"/>
    <w:rsid w:val="000F56E2"/>
    <w:rsid w:val="001D021D"/>
    <w:rsid w:val="00225155"/>
    <w:rsid w:val="00256A82"/>
    <w:rsid w:val="002B5786"/>
    <w:rsid w:val="00304A22"/>
    <w:rsid w:val="003436C8"/>
    <w:rsid w:val="004000D7"/>
    <w:rsid w:val="00426A02"/>
    <w:rsid w:val="004752F8"/>
    <w:rsid w:val="004865FF"/>
    <w:rsid w:val="004E583E"/>
    <w:rsid w:val="00504E43"/>
    <w:rsid w:val="00527E96"/>
    <w:rsid w:val="00551C7D"/>
    <w:rsid w:val="005C0306"/>
    <w:rsid w:val="0066193D"/>
    <w:rsid w:val="0067798C"/>
    <w:rsid w:val="0069611E"/>
    <w:rsid w:val="006E33A7"/>
    <w:rsid w:val="007908F4"/>
    <w:rsid w:val="007E11B1"/>
    <w:rsid w:val="007F6D90"/>
    <w:rsid w:val="00831967"/>
    <w:rsid w:val="00845F2C"/>
    <w:rsid w:val="008A22C6"/>
    <w:rsid w:val="008C4206"/>
    <w:rsid w:val="008D5446"/>
    <w:rsid w:val="009031E1"/>
    <w:rsid w:val="00931E82"/>
    <w:rsid w:val="009C462C"/>
    <w:rsid w:val="009D56D2"/>
    <w:rsid w:val="00A34150"/>
    <w:rsid w:val="00AA16CF"/>
    <w:rsid w:val="00AB4CB7"/>
    <w:rsid w:val="00AF6FCF"/>
    <w:rsid w:val="00B16ECA"/>
    <w:rsid w:val="00BB488A"/>
    <w:rsid w:val="00BF3187"/>
    <w:rsid w:val="00C04708"/>
    <w:rsid w:val="00C07F80"/>
    <w:rsid w:val="00C26BFA"/>
    <w:rsid w:val="00C54F21"/>
    <w:rsid w:val="00C56E19"/>
    <w:rsid w:val="00C61E46"/>
    <w:rsid w:val="00CD7779"/>
    <w:rsid w:val="00CF59D6"/>
    <w:rsid w:val="00DA7E22"/>
    <w:rsid w:val="00DB5826"/>
    <w:rsid w:val="00E000EE"/>
    <w:rsid w:val="00E1536C"/>
    <w:rsid w:val="00F05AAB"/>
    <w:rsid w:val="00F35700"/>
    <w:rsid w:val="00F4018B"/>
    <w:rsid w:val="00FD3A85"/>
    <w:rsid w:val="00FE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jbroome@oxford.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1D7F-021B-4B5C-B049-D5EB3B01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52780672</Template>
  <TotalTime>1</TotalTime>
  <Pages>3</Pages>
  <Words>1018</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samantha.howell</dc:creator>
  <cp:lastModifiedBy>JMitchell</cp:lastModifiedBy>
  <cp:revision>2</cp:revision>
  <dcterms:created xsi:type="dcterms:W3CDTF">2018-04-06T07:14:00Z</dcterms:created>
  <dcterms:modified xsi:type="dcterms:W3CDTF">2018-04-06T07:14:00Z</dcterms:modified>
</cp:coreProperties>
</file>